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CENTR</w:t>
      </w:r>
      <w:r>
        <w:rPr>
          <w:rFonts w:ascii="Arial" w:eastAsia="Arial" w:hAnsi="Arial" w:cs="Arial"/>
          <w:b/>
          <w:sz w:val="22"/>
          <w:szCs w:val="22"/>
        </w:rPr>
        <w:t>AL OKANAGAN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ISTRICT A</w:t>
      </w:r>
      <w:r>
        <w:rPr>
          <w:rFonts w:ascii="Arial" w:eastAsia="Arial" w:hAnsi="Arial" w:cs="Arial"/>
          <w:b/>
        </w:rPr>
        <w:t>UTHORITY</w:t>
      </w:r>
      <w:r>
        <w:rPr>
          <w:rFonts w:ascii="Arial" w:eastAsia="Arial" w:hAnsi="Arial" w:cs="Arial"/>
          <w:b/>
        </w:rPr>
        <w:t xml:space="preserve"> SCHOLARSHIPS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STUDENT </w:t>
      </w:r>
      <w:r>
        <w:rPr>
          <w:rFonts w:ascii="Arial" w:eastAsia="Arial" w:hAnsi="Arial" w:cs="Arial"/>
          <w:b/>
          <w:sz w:val="36"/>
          <w:szCs w:val="36"/>
        </w:rPr>
        <w:t>INFORMATION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/20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  <w:u w:val="single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District </w:t>
      </w:r>
      <w:r>
        <w:rPr>
          <w:rFonts w:ascii="Arial" w:eastAsia="Arial" w:hAnsi="Arial" w:cs="Arial"/>
          <w:sz w:val="22"/>
          <w:szCs w:val="22"/>
        </w:rPr>
        <w:t>Authority</w:t>
      </w:r>
      <w:r>
        <w:rPr>
          <w:rFonts w:ascii="Arial" w:eastAsia="Arial" w:hAnsi="Arial" w:cs="Arial"/>
          <w:sz w:val="22"/>
          <w:szCs w:val="22"/>
        </w:rPr>
        <w:t xml:space="preserve"> Scholarships reward graduating BC students for excellence in their chosen </w:t>
      </w:r>
      <w:r>
        <w:rPr>
          <w:rFonts w:ascii="Arial" w:eastAsia="Arial" w:hAnsi="Arial" w:cs="Arial"/>
          <w:sz w:val="22"/>
          <w:szCs w:val="22"/>
        </w:rPr>
        <w:t>area of skill and or passion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student who wins a District A</w:t>
      </w:r>
      <w:r>
        <w:rPr>
          <w:rFonts w:ascii="Arial" w:eastAsia="Arial" w:hAnsi="Arial" w:cs="Arial"/>
          <w:sz w:val="22"/>
          <w:szCs w:val="22"/>
        </w:rPr>
        <w:t>uthority</w:t>
      </w:r>
      <w:r>
        <w:rPr>
          <w:rFonts w:ascii="Arial" w:eastAsia="Arial" w:hAnsi="Arial" w:cs="Arial"/>
          <w:sz w:val="22"/>
          <w:szCs w:val="22"/>
        </w:rPr>
        <w:t xml:space="preserve"> Scholarship </w:t>
      </w:r>
      <w:r>
        <w:rPr>
          <w:rFonts w:ascii="Arial" w:eastAsia="Arial" w:hAnsi="Arial" w:cs="Arial"/>
          <w:sz w:val="22"/>
          <w:szCs w:val="22"/>
        </w:rPr>
        <w:t>will be</w:t>
      </w:r>
      <w:r>
        <w:rPr>
          <w:rFonts w:ascii="Arial" w:eastAsia="Arial" w:hAnsi="Arial" w:cs="Arial"/>
          <w:sz w:val="22"/>
          <w:szCs w:val="22"/>
        </w:rPr>
        <w:t xml:space="preserve"> mailed 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congratulatory letter, a certificate and a voucher for $</w:t>
      </w:r>
      <w:r>
        <w:rPr>
          <w:rFonts w:ascii="Arial" w:eastAsia="Arial" w:hAnsi="Arial" w:cs="Arial"/>
          <w:sz w:val="22"/>
          <w:szCs w:val="22"/>
        </w:rPr>
        <w:t>1250</w:t>
      </w:r>
      <w:r>
        <w:rPr>
          <w:rFonts w:ascii="Arial" w:eastAsia="Arial" w:hAnsi="Arial" w:cs="Arial"/>
          <w:sz w:val="22"/>
          <w:szCs w:val="22"/>
        </w:rPr>
        <w:t xml:space="preserve"> from the </w:t>
      </w:r>
      <w:r>
        <w:rPr>
          <w:rFonts w:ascii="Arial" w:eastAsia="Arial" w:hAnsi="Arial" w:cs="Arial"/>
          <w:sz w:val="22"/>
          <w:szCs w:val="22"/>
          <w:u w:val="single"/>
        </w:rPr>
        <w:t>Ministry of Education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(around </w:t>
      </w:r>
      <w:r>
        <w:rPr>
          <w:rFonts w:ascii="Arial" w:eastAsia="Arial" w:hAnsi="Arial" w:cs="Arial"/>
          <w:sz w:val="22"/>
          <w:szCs w:val="22"/>
        </w:rPr>
        <w:t>November).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This voucher can be redeemed when the student is registered and attending a designated post-secondary institution 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r an authorized trades training provider, and is </w:t>
      </w:r>
      <w:r>
        <w:rPr>
          <w:rFonts w:ascii="Arial" w:eastAsia="Arial" w:hAnsi="Arial" w:cs="Arial"/>
          <w:sz w:val="22"/>
          <w:szCs w:val="22"/>
        </w:rPr>
        <w:t xml:space="preserve">valid for a period of up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FIVE years.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Students must be recommended by a person associated with </w:t>
      </w:r>
      <w:r>
        <w:rPr>
          <w:rFonts w:ascii="Arial" w:eastAsia="Arial" w:hAnsi="Arial" w:cs="Arial"/>
          <w:b/>
          <w:sz w:val="22"/>
          <w:szCs w:val="22"/>
        </w:rPr>
        <w:t>Central Okanagan Public Schools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(Teacher, Coach, Dual Credit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nstructor, Administrator, or Counsellor).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996676" cy="728663"/>
            <wp:effectExtent l="0" t="0" r="0" b="0"/>
            <wp:docPr id="5" name="image1.png" descr="OK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K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76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117071" cy="518954"/>
            <wp:effectExtent l="0" t="0" r="0" b="0"/>
            <wp:docPr id="3" name="image2.png" descr="C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P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71" cy="518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714013" cy="671513"/>
            <wp:effectExtent l="0" t="0" r="0" b="0"/>
            <wp:docPr id="2" name="image3.png" descr="R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SS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0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130829" cy="455269"/>
            <wp:effectExtent l="0" t="0" r="0" b="0"/>
            <wp:docPr id="6" name="image6.png" descr="GE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ESS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829" cy="455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933604" cy="842963"/>
            <wp:effectExtent l="0" t="0" r="0" b="0"/>
            <wp:docPr id="4" name="image5.png" descr="K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SS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60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031346" cy="687564"/>
            <wp:effectExtent l="0" t="0" r="0" b="0"/>
            <wp:docPr id="1" name="image4.png" descr="MB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BSS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346" cy="687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District A</w:t>
      </w:r>
      <w:r>
        <w:rPr>
          <w:rFonts w:ascii="Arial" w:eastAsia="Arial" w:hAnsi="Arial" w:cs="Arial"/>
          <w:sz w:val="22"/>
          <w:szCs w:val="22"/>
        </w:rPr>
        <w:t>uthority</w:t>
      </w:r>
      <w:r>
        <w:rPr>
          <w:rFonts w:ascii="Arial" w:eastAsia="Arial" w:hAnsi="Arial" w:cs="Arial"/>
          <w:sz w:val="22"/>
          <w:szCs w:val="22"/>
        </w:rPr>
        <w:t xml:space="preserve"> Scholarships will be distributed to selected graduating students who excel in, and </w:t>
      </w:r>
      <w:r>
        <w:rPr>
          <w:rFonts w:ascii="Arial" w:eastAsia="Arial" w:hAnsi="Arial" w:cs="Arial"/>
          <w:b/>
          <w:i/>
          <w:sz w:val="22"/>
          <w:szCs w:val="22"/>
        </w:rPr>
        <w:t>plan to pursue a career</w:t>
      </w:r>
      <w:r>
        <w:rPr>
          <w:rFonts w:ascii="Arial" w:eastAsia="Arial" w:hAnsi="Arial" w:cs="Arial"/>
          <w:sz w:val="22"/>
          <w:szCs w:val="22"/>
        </w:rPr>
        <w:t xml:space="preserve"> in 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 following skill areas: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Indigenous Languages and Culture </w:t>
      </w:r>
      <w:r>
        <w:rPr>
          <w:rFonts w:ascii="Arial" w:eastAsia="Arial" w:hAnsi="Arial" w:cs="Arial"/>
          <w:sz w:val="20"/>
          <w:szCs w:val="20"/>
        </w:rPr>
        <w:t>(demonstrated at school or in the community)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Fine Arts </w:t>
      </w:r>
      <w:r>
        <w:rPr>
          <w:rFonts w:ascii="Arial" w:eastAsia="Arial" w:hAnsi="Arial" w:cs="Arial"/>
          <w:sz w:val="20"/>
          <w:szCs w:val="20"/>
        </w:rPr>
        <w:t>(Visual Arts, Dance, Drama, Music)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Applied Design, Skills, and Technologies </w:t>
      </w:r>
      <w:r>
        <w:rPr>
          <w:rFonts w:ascii="Arial" w:eastAsia="Arial" w:hAnsi="Arial" w:cs="Arial"/>
          <w:sz w:val="20"/>
          <w:szCs w:val="20"/>
        </w:rPr>
        <w:t>(Business, Technology, Home Ec</w:t>
      </w:r>
      <w:r>
        <w:rPr>
          <w:rFonts w:ascii="Arial" w:eastAsia="Arial" w:hAnsi="Arial" w:cs="Arial"/>
          <w:sz w:val="20"/>
          <w:szCs w:val="20"/>
        </w:rPr>
        <w:t>onomics, Information Communication Technology</w:t>
      </w:r>
      <w:r>
        <w:rPr>
          <w:rFonts w:ascii="Arial" w:eastAsia="Arial" w:hAnsi="Arial" w:cs="Arial"/>
          <w:sz w:val="20"/>
          <w:szCs w:val="20"/>
        </w:rPr>
        <w:t>)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Physical Activity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Athletics, Dance, Gymnastics, etc.)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International</w:t>
      </w:r>
      <w:r>
        <w:rPr>
          <w:rFonts w:ascii="Arial" w:eastAsia="Arial" w:hAnsi="Arial" w:cs="Arial"/>
          <w:b/>
          <w:sz w:val="20"/>
          <w:szCs w:val="20"/>
        </w:rPr>
        <w:t xml:space="preserve"> Languages </w:t>
      </w:r>
      <w:r>
        <w:rPr>
          <w:rFonts w:ascii="Arial" w:eastAsia="Arial" w:hAnsi="Arial" w:cs="Arial"/>
          <w:sz w:val="20"/>
          <w:szCs w:val="20"/>
        </w:rPr>
        <w:t>(French, Span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z w:val="20"/>
          <w:szCs w:val="20"/>
        </w:rPr>
        <w:t>, German, ASL,</w:t>
      </w:r>
      <w:r>
        <w:rPr>
          <w:rFonts w:ascii="Arial" w:eastAsia="Arial" w:hAnsi="Arial" w:cs="Arial"/>
          <w:sz w:val="20"/>
          <w:szCs w:val="20"/>
        </w:rPr>
        <w:t xml:space="preserve"> etc.)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Community Service </w:t>
      </w:r>
      <w:r>
        <w:rPr>
          <w:rFonts w:ascii="Arial" w:eastAsia="Arial" w:hAnsi="Arial" w:cs="Arial"/>
          <w:sz w:val="20"/>
          <w:szCs w:val="20"/>
        </w:rPr>
        <w:t>(must be related to a career choice and show significant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leadership initiative, organization, and commitment: includin</w:t>
      </w:r>
      <w:r>
        <w:rPr>
          <w:rFonts w:ascii="Arial" w:eastAsia="Arial" w:hAnsi="Arial" w:cs="Arial"/>
          <w:sz w:val="20"/>
          <w:szCs w:val="20"/>
        </w:rPr>
        <w:t>g a demonstration of local and global issues</w:t>
      </w:r>
      <w:r>
        <w:rPr>
          <w:rFonts w:ascii="Arial" w:eastAsia="Arial" w:hAnsi="Arial" w:cs="Arial"/>
          <w:sz w:val="20"/>
          <w:szCs w:val="20"/>
        </w:rPr>
        <w:t>)</w:t>
      </w:r>
    </w:p>
    <w:p w:rsidR="00B9517D" w:rsidRDefault="00C13C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Technical and Trades Training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Carpentry, Automotive, Mechanics and Cook Training, etc.)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ab/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ASSESSMENT OF STUDENT APPLICATION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Each student must submit the following in their District A</w:t>
      </w:r>
      <w:r>
        <w:rPr>
          <w:rFonts w:ascii="Arial" w:eastAsia="Arial" w:hAnsi="Arial" w:cs="Arial"/>
          <w:sz w:val="22"/>
          <w:szCs w:val="22"/>
        </w:rPr>
        <w:t>uthority</w:t>
      </w:r>
      <w:r>
        <w:rPr>
          <w:rFonts w:ascii="Arial" w:eastAsia="Arial" w:hAnsi="Arial" w:cs="Arial"/>
          <w:sz w:val="22"/>
          <w:szCs w:val="22"/>
        </w:rPr>
        <w:t xml:space="preserve"> Scholarship application package.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 application will be initially assessed by a School-Based District A</w:t>
      </w:r>
      <w:r>
        <w:rPr>
          <w:rFonts w:ascii="Arial" w:eastAsia="Arial" w:hAnsi="Arial" w:cs="Arial"/>
          <w:sz w:val="22"/>
          <w:szCs w:val="22"/>
        </w:rPr>
        <w:t>uthority</w:t>
      </w:r>
      <w:r>
        <w:rPr>
          <w:rFonts w:ascii="Arial" w:eastAsia="Arial" w:hAnsi="Arial" w:cs="Arial"/>
          <w:sz w:val="22"/>
          <w:szCs w:val="22"/>
        </w:rPr>
        <w:t xml:space="preserve"> Scholarship Committee and then the application will be passed on to our District A</w:t>
      </w:r>
      <w:r>
        <w:rPr>
          <w:rFonts w:ascii="Arial" w:eastAsia="Arial" w:hAnsi="Arial" w:cs="Arial"/>
          <w:sz w:val="22"/>
          <w:szCs w:val="22"/>
        </w:rPr>
        <w:t>uthority</w:t>
      </w:r>
      <w:r>
        <w:rPr>
          <w:rFonts w:ascii="Arial" w:eastAsia="Arial" w:hAnsi="Arial" w:cs="Arial"/>
          <w:sz w:val="22"/>
          <w:szCs w:val="22"/>
        </w:rPr>
        <w:t xml:space="preserve"> Scholarship Committee, who will make the final selections.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jc w:val="center"/>
        <w:rPr>
          <w:rFonts w:ascii="Arial" w:eastAsia="Arial" w:hAnsi="Arial" w:cs="Arial"/>
          <w:b/>
          <w:sz w:val="28"/>
          <w:szCs w:val="28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Each application will b</w:t>
      </w:r>
      <w:r>
        <w:rPr>
          <w:rFonts w:ascii="Arial" w:eastAsia="Arial" w:hAnsi="Arial" w:cs="Arial"/>
          <w:sz w:val="22"/>
          <w:szCs w:val="22"/>
        </w:rPr>
        <w:t>e assessed using the following breakdown: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9517D" w:rsidRDefault="00C1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Statements of Recommendation</w:t>
      </w:r>
      <w:r>
        <w:rPr>
          <w:rFonts w:ascii="Arial" w:eastAsia="Arial" w:hAnsi="Arial" w:cs="Arial"/>
          <w:b/>
          <w:sz w:val="18"/>
          <w:szCs w:val="18"/>
        </w:rPr>
        <w:t xml:space="preserve"> -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2 recommendations required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2</w:t>
      </w:r>
      <w:r>
        <w:rPr>
          <w:rFonts w:ascii="Arial" w:eastAsia="Arial" w:hAnsi="Arial" w:cs="Arial"/>
          <w:b/>
          <w:sz w:val="18"/>
          <w:szCs w:val="18"/>
        </w:rPr>
        <w:t>0 points</w:t>
      </w:r>
    </w:p>
    <w:p w:rsidR="00B9517D" w:rsidRDefault="00C1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Application Questions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(reviewed as part of Interview Assessment)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20 points</w:t>
      </w:r>
    </w:p>
    <w:p w:rsidR="00B9517D" w:rsidRDefault="00C13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Interview Presentation </w:t>
      </w:r>
      <w:r>
        <w:rPr>
          <w:rFonts w:ascii="Arial" w:eastAsia="Arial" w:hAnsi="Arial" w:cs="Arial"/>
          <w:b/>
          <w:i/>
          <w:sz w:val="18"/>
          <w:szCs w:val="18"/>
        </w:rPr>
        <w:t>(</w:t>
      </w:r>
      <w:r>
        <w:rPr>
          <w:rFonts w:ascii="Arial" w:eastAsia="Arial" w:hAnsi="Arial" w:cs="Arial"/>
          <w:b/>
          <w:i/>
          <w:sz w:val="18"/>
          <w:szCs w:val="18"/>
        </w:rPr>
        <w:t>Video/</w:t>
      </w:r>
      <w:r>
        <w:rPr>
          <w:rFonts w:ascii="Arial" w:eastAsia="Arial" w:hAnsi="Arial" w:cs="Arial"/>
          <w:b/>
          <w:i/>
          <w:sz w:val="18"/>
          <w:szCs w:val="18"/>
        </w:rPr>
        <w:t>Performance/Demonstration/Portfolio)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  <w:u w:val="single"/>
        </w:rPr>
        <w:t>6</w:t>
      </w:r>
      <w:r>
        <w:rPr>
          <w:rFonts w:ascii="Arial" w:eastAsia="Arial" w:hAnsi="Arial" w:cs="Arial"/>
          <w:b/>
          <w:sz w:val="18"/>
          <w:szCs w:val="18"/>
          <w:u w:val="single"/>
        </w:rPr>
        <w:t>0 points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TOTAL: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100 points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APPLICATION DETAILS</w:t>
      </w:r>
    </w:p>
    <w:p w:rsidR="00B9517D" w:rsidRDefault="00C13C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District Authority Scholarship applications must be completed online. </w:t>
      </w:r>
    </w:p>
    <w:p w:rsidR="00B9517D" w:rsidRDefault="00C13C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go to </w:t>
      </w:r>
      <w:hyperlink r:id="rId13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https://das.sd23.bc.ca</w:t>
        </w:r>
      </w:hyperlink>
      <w:r>
        <w:rPr>
          <w:rFonts w:ascii="Arial" w:eastAsia="Arial" w:hAnsi="Arial" w:cs="Arial"/>
          <w:sz w:val="22"/>
          <w:szCs w:val="22"/>
        </w:rPr>
        <w:t xml:space="preserve"> and log in using your school district network credentials. 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***Please be sure to save your application as you work through the process. If having difficulty, try using Firefox instead of Chrome.</w:t>
      </w:r>
    </w:p>
    <w:p w:rsidR="00B9517D" w:rsidRDefault="00C13C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will need your Ministry ID (PEN) to complete the applica</w:t>
      </w:r>
      <w:r>
        <w:rPr>
          <w:rFonts w:ascii="Arial" w:eastAsia="Arial" w:hAnsi="Arial" w:cs="Arial"/>
          <w:sz w:val="22"/>
          <w:szCs w:val="22"/>
        </w:rPr>
        <w:t>tion.</w:t>
      </w:r>
    </w:p>
    <w:p w:rsidR="00B9517D" w:rsidRDefault="00C13C1B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must be a Canadian Citizen and a permanent resident of British Columbia.</w:t>
      </w:r>
    </w:p>
    <w:p w:rsidR="00B9517D" w:rsidRDefault="00C13C1B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must be eligible to graduate in June, and you must graduate to receive an award.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>
        <w:br w:type="page"/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Application Questions</w:t>
      </w:r>
      <w:r>
        <w:rPr>
          <w:rFonts w:ascii="Arial" w:eastAsia="Arial" w:hAnsi="Arial" w:cs="Arial"/>
          <w:b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Points)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following application questions will be </w:t>
      </w:r>
      <w:r>
        <w:rPr>
          <w:rFonts w:ascii="Arial" w:eastAsia="Arial" w:hAnsi="Arial" w:cs="Arial"/>
          <w:b/>
          <w:sz w:val="22"/>
          <w:szCs w:val="22"/>
        </w:rPr>
        <w:t>completed online as part of the application process</w:t>
      </w:r>
      <w:r>
        <w:rPr>
          <w:rFonts w:ascii="Arial" w:eastAsia="Arial" w:hAnsi="Arial" w:cs="Arial"/>
          <w:sz w:val="22"/>
          <w:szCs w:val="22"/>
        </w:rPr>
        <w:t xml:space="preserve"> and will be</w:t>
      </w:r>
      <w:r>
        <w:rPr>
          <w:rFonts w:ascii="Arial" w:eastAsia="Arial" w:hAnsi="Arial" w:cs="Arial"/>
          <w:b/>
          <w:sz w:val="22"/>
          <w:szCs w:val="22"/>
        </w:rPr>
        <w:t xml:space="preserve"> reviewed and scored by the District Authority Scholarship Interview Panel.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b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Question 1.</w:t>
      </w:r>
      <w:r>
        <w:rPr>
          <w:rFonts w:ascii="Arial" w:eastAsia="Arial" w:hAnsi="Arial" w:cs="Arial"/>
          <w:b/>
          <w:sz w:val="20"/>
          <w:szCs w:val="20"/>
        </w:rPr>
        <w:t xml:space="preserve"> (200 words max)…</w:t>
      </w:r>
      <w:r>
        <w:rPr>
          <w:rFonts w:ascii="Arial" w:eastAsia="Arial" w:hAnsi="Arial" w:cs="Arial"/>
          <w:sz w:val="20"/>
          <w:szCs w:val="20"/>
        </w:rPr>
        <w:t>Why would you be a good District A</w:t>
      </w:r>
      <w:r>
        <w:rPr>
          <w:rFonts w:ascii="Arial" w:eastAsia="Arial" w:hAnsi="Arial" w:cs="Arial"/>
          <w:sz w:val="20"/>
          <w:szCs w:val="20"/>
        </w:rPr>
        <w:t>uthority</w:t>
      </w:r>
      <w:r>
        <w:rPr>
          <w:rFonts w:ascii="Arial" w:eastAsia="Arial" w:hAnsi="Arial" w:cs="Arial"/>
          <w:sz w:val="20"/>
          <w:szCs w:val="20"/>
        </w:rPr>
        <w:t xml:space="preserve"> Scholarship candidate? Be clear and concise. Convince the committee that you are worthy of this scholarship. 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Question 2. (200 words max)</w:t>
      </w:r>
      <w:r>
        <w:rPr>
          <w:rFonts w:ascii="Arial" w:eastAsia="Arial" w:hAnsi="Arial" w:cs="Arial"/>
          <w:b/>
          <w:sz w:val="20"/>
          <w:szCs w:val="20"/>
        </w:rPr>
        <w:t xml:space="preserve">… </w:t>
      </w:r>
      <w:r>
        <w:rPr>
          <w:rFonts w:ascii="Arial" w:eastAsia="Arial" w:hAnsi="Arial" w:cs="Arial"/>
          <w:b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sz w:val="20"/>
          <w:szCs w:val="20"/>
        </w:rPr>
        <w:t>connections between your abilities and your career goal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Specifically address how your skills and experiences 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atch your career goal! You can do this by highlighting any contributions you have made, or leadership roles you have taken on, either in the community and/or at school. You could also highlight any related extra-curricular activities that you are involved </w:t>
      </w:r>
      <w:r>
        <w:rPr>
          <w:rFonts w:ascii="Arial" w:eastAsia="Arial" w:hAnsi="Arial" w:cs="Arial"/>
          <w:sz w:val="20"/>
          <w:szCs w:val="20"/>
          <w:highlight w:val="white"/>
        </w:rPr>
        <w:t>in. Remember, you are highlighting and interpreting your resume, not repeating it.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Question 3. (200 words max)... </w:t>
      </w:r>
      <w:r>
        <w:rPr>
          <w:rFonts w:ascii="Arial" w:eastAsia="Arial" w:hAnsi="Arial" w:cs="Arial"/>
          <w:sz w:val="20"/>
          <w:szCs w:val="20"/>
        </w:rPr>
        <w:t>You must also</w:t>
      </w:r>
      <w:r>
        <w:rPr>
          <w:rFonts w:ascii="Arial" w:eastAsia="Arial" w:hAnsi="Arial" w:cs="Arial"/>
          <w:sz w:val="20"/>
          <w:szCs w:val="20"/>
        </w:rPr>
        <w:t xml:space="preserve"> clearly address the </w:t>
      </w:r>
      <w:r>
        <w:rPr>
          <w:rFonts w:ascii="Arial" w:eastAsia="Arial" w:hAnsi="Arial" w:cs="Arial"/>
          <w:b/>
          <w:sz w:val="20"/>
          <w:szCs w:val="20"/>
        </w:rPr>
        <w:t xml:space="preserve">School District's </w:t>
      </w:r>
      <w:r>
        <w:rPr>
          <w:rFonts w:ascii="Arial" w:eastAsia="Arial" w:hAnsi="Arial" w:cs="Arial"/>
          <w:b/>
          <w:sz w:val="20"/>
          <w:szCs w:val="20"/>
        </w:rPr>
        <w:t>g</w:t>
      </w:r>
      <w:r>
        <w:rPr>
          <w:rFonts w:ascii="Arial" w:eastAsia="Arial" w:hAnsi="Arial" w:cs="Arial"/>
          <w:b/>
          <w:sz w:val="20"/>
          <w:szCs w:val="20"/>
        </w:rPr>
        <w:t>oal for students to demonstrate the Attributes of a 21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</w:rPr>
        <w:t xml:space="preserve"> Learner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 Appendix A for clarification of the</w:t>
      </w:r>
      <w:r>
        <w:rPr>
          <w:rFonts w:ascii="Arial" w:eastAsia="Arial" w:hAnsi="Arial" w:cs="Arial"/>
          <w:i/>
          <w:sz w:val="20"/>
          <w:szCs w:val="20"/>
        </w:rPr>
        <w:t xml:space="preserve"> Attributes of a 21st Century Learner)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Please describe in detail, your strongest attribute, and provide evidence of how you demonstrate and exemplify this attribute. Describe how this attribute relates to your career </w:t>
      </w:r>
      <w:r>
        <w:rPr>
          <w:rFonts w:ascii="Arial" w:eastAsia="Arial" w:hAnsi="Arial" w:cs="Arial"/>
          <w:sz w:val="20"/>
          <w:szCs w:val="20"/>
        </w:rPr>
        <w:t>pathway.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Support each statement you make with a piece of evidence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(see Appendix B for examples of </w:t>
      </w:r>
      <w:r>
        <w:rPr>
          <w:rFonts w:ascii="Arial" w:eastAsia="Arial" w:hAnsi="Arial" w:cs="Arial"/>
          <w:i/>
          <w:sz w:val="20"/>
          <w:szCs w:val="20"/>
        </w:rPr>
        <w:t>“great” evidence that you could use to support your statements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z w:val="20"/>
          <w:szCs w:val="20"/>
        </w:rPr>
        <w:t xml:space="preserve"> Try to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several shorter paragraphs or bullets rather than one large block of text.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Quest</w:t>
      </w:r>
      <w:r>
        <w:rPr>
          <w:rFonts w:ascii="Arial" w:eastAsia="Arial" w:hAnsi="Arial" w:cs="Arial"/>
          <w:b/>
          <w:sz w:val="20"/>
          <w:szCs w:val="20"/>
        </w:rPr>
        <w:t>ion 4.</w:t>
      </w:r>
      <w:r>
        <w:rPr>
          <w:rFonts w:ascii="Arial" w:eastAsia="Arial" w:hAnsi="Arial" w:cs="Arial"/>
          <w:b/>
          <w:sz w:val="20"/>
          <w:szCs w:val="20"/>
        </w:rPr>
        <w:t xml:space="preserve"> (100 words max)… </w:t>
      </w:r>
      <w:r>
        <w:rPr>
          <w:rFonts w:ascii="Arial" w:eastAsia="Arial" w:hAnsi="Arial" w:cs="Arial"/>
          <w:sz w:val="20"/>
          <w:szCs w:val="20"/>
        </w:rPr>
        <w:t>Thank the committee for considering you as a candidate.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Statements of Recommendation</w:t>
      </w:r>
      <w:r>
        <w:rPr>
          <w:rFonts w:ascii="Arial" w:eastAsia="Arial" w:hAnsi="Arial" w:cs="Arial"/>
          <w:b/>
          <w:sz w:val="22"/>
          <w:szCs w:val="22"/>
        </w:rPr>
        <w:t xml:space="preserve"> (20 Points – 10 points per recommendation)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student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z w:val="22"/>
          <w:szCs w:val="22"/>
        </w:rPr>
        <w:t xml:space="preserve">select two </w:t>
      </w:r>
      <w:r>
        <w:rPr>
          <w:rFonts w:ascii="Arial" w:eastAsia="Arial" w:hAnsi="Arial" w:cs="Arial"/>
          <w:sz w:val="22"/>
          <w:szCs w:val="22"/>
        </w:rPr>
        <w:t xml:space="preserve">adults, </w:t>
      </w:r>
      <w:r>
        <w:rPr>
          <w:rFonts w:ascii="Arial" w:eastAsia="Arial" w:hAnsi="Arial" w:cs="Arial"/>
          <w:sz w:val="22"/>
          <w:szCs w:val="22"/>
        </w:rPr>
        <w:t xml:space="preserve">associated with </w:t>
      </w:r>
      <w:r>
        <w:rPr>
          <w:rFonts w:ascii="Arial" w:eastAsia="Arial" w:hAnsi="Arial" w:cs="Arial"/>
          <w:sz w:val="22"/>
          <w:szCs w:val="22"/>
        </w:rPr>
        <w:t xml:space="preserve">the school district, </w:t>
      </w:r>
      <w:r>
        <w:rPr>
          <w:rFonts w:ascii="Arial" w:eastAsia="Arial" w:hAnsi="Arial" w:cs="Arial"/>
          <w:sz w:val="22"/>
          <w:szCs w:val="22"/>
        </w:rPr>
        <w:t xml:space="preserve">to complete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online confidential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tatement of Recommendation.</w:t>
      </w:r>
      <w:r>
        <w:rPr>
          <w:rFonts w:ascii="Arial" w:eastAsia="Arial" w:hAnsi="Arial" w:cs="Arial"/>
          <w:sz w:val="22"/>
          <w:szCs w:val="22"/>
        </w:rPr>
        <w:t xml:space="preserve"> Selected adults will be contacted via email as part of the online application process. </w:t>
      </w:r>
      <w:r>
        <w:rPr>
          <w:rFonts w:ascii="Arial" w:eastAsia="Arial" w:hAnsi="Arial" w:cs="Arial"/>
          <w:b/>
          <w:sz w:val="22"/>
          <w:szCs w:val="22"/>
        </w:rPr>
        <w:t xml:space="preserve">One recommendation </w:t>
      </w:r>
      <w:r>
        <w:rPr>
          <w:rFonts w:ascii="Arial" w:eastAsia="Arial" w:hAnsi="Arial" w:cs="Arial"/>
          <w:b/>
          <w:sz w:val="22"/>
          <w:szCs w:val="22"/>
          <w:u w:val="single"/>
        </w:rPr>
        <w:t>must</w:t>
      </w:r>
      <w:r>
        <w:rPr>
          <w:rFonts w:ascii="Arial" w:eastAsia="Arial" w:hAnsi="Arial" w:cs="Arial"/>
          <w:b/>
          <w:sz w:val="22"/>
          <w:szCs w:val="22"/>
        </w:rPr>
        <w:t xml:space="preserve"> be from the selected ‘skill’ area being demonstrated by the applicant.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Interview Presentation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0 Points)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32" w:right="-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 interview presentation with a skill </w:t>
      </w:r>
      <w:r>
        <w:rPr>
          <w:rFonts w:ascii="Arial" w:eastAsia="Arial" w:hAnsi="Arial" w:cs="Arial"/>
          <w:sz w:val="22"/>
          <w:szCs w:val="22"/>
        </w:rPr>
        <w:t>demonstration is the major focus of the application process.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Each student will be assessed by presenting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Video, Performance, Demonstration, or Portfolio. </w:t>
      </w:r>
      <w:r>
        <w:rPr>
          <w:rFonts w:ascii="Arial" w:eastAsia="Arial" w:hAnsi="Arial" w:cs="Arial"/>
          <w:sz w:val="22"/>
          <w:szCs w:val="22"/>
        </w:rPr>
        <w:t xml:space="preserve">While, students may select a presentation format </w:t>
      </w:r>
      <w:r>
        <w:rPr>
          <w:rFonts w:ascii="Arial" w:eastAsia="Arial" w:hAnsi="Arial" w:cs="Arial"/>
          <w:sz w:val="22"/>
          <w:szCs w:val="22"/>
        </w:rPr>
        <w:t>that best suits their personality and skills, the presentation must be made in front of a Scholarship panel.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709" w:right="-296"/>
        <w:rPr>
          <w:rFonts w:ascii="Arial" w:eastAsia="Arial" w:hAnsi="Arial" w:cs="Arial"/>
          <w:b/>
          <w:i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25" w:right="-296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Interview Preparation Guide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25" w:right="-296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To be successful in your application, you must demonstrate that you are "ready" and have the character skills to pursue, and to be successful in your post-secondary transition.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ind w:left="425" w:right="-296"/>
        <w:rPr>
          <w:rFonts w:ascii="Arial" w:eastAsia="Arial" w:hAnsi="Arial" w:cs="Arial"/>
          <w:sz w:val="22"/>
          <w:szCs w:val="22"/>
          <w:u w:val="single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ind w:left="425" w:right="-2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interview must include the following: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 w:right="-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5 - 10</w:t>
      </w:r>
      <w:r>
        <w:rPr>
          <w:rFonts w:ascii="Arial" w:eastAsia="Arial" w:hAnsi="Arial" w:cs="Arial"/>
          <w:sz w:val="20"/>
          <w:szCs w:val="20"/>
        </w:rPr>
        <w:t xml:space="preserve"> minute demonstration of your skill - remember to provide theoretical knowledge of the particular skill area you are applying for (using appropriate technical language).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are your short and long term education and career goals?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have you done in the last few years to prepare for these goals?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Tell us about a time when you had to persevere, despite obstacles in your life or in your chosen skill area </w:t>
      </w:r>
    </w:p>
    <w:p w:rsidR="00B9517D" w:rsidRDefault="00C13C1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did you get through this challenge?</w:t>
      </w:r>
    </w:p>
    <w:p w:rsidR="00B9517D" w:rsidRDefault="00C13C1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did you learn from this experienc</w:t>
      </w:r>
      <w:r>
        <w:rPr>
          <w:rFonts w:ascii="Arial" w:eastAsia="Arial" w:hAnsi="Arial" w:cs="Arial"/>
          <w:sz w:val="20"/>
          <w:szCs w:val="20"/>
        </w:rPr>
        <w:t xml:space="preserve">e? </w:t>
      </w:r>
    </w:p>
    <w:p w:rsidR="00B9517D" w:rsidRDefault="00C13C1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has it lead you to be successful in your chosen skill area?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community and/or extra-curricular activities have you participated in recently?  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activities do you foresee yourself being involved with in the future?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 with evidence, o</w:t>
      </w:r>
      <w:r>
        <w:rPr>
          <w:rFonts w:ascii="Arial" w:eastAsia="Arial" w:hAnsi="Arial" w:cs="Arial"/>
          <w:sz w:val="20"/>
          <w:szCs w:val="20"/>
        </w:rPr>
        <w:t>ne or two of your strongest attribute(s) that you would like to share with us.</w:t>
      </w:r>
    </w:p>
    <w:p w:rsidR="00B9517D" w:rsidRDefault="00C13C1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 your attributes reveal learning and reflection?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B7B7B7"/>
          <w:sz w:val="22"/>
          <w:szCs w:val="22"/>
        </w:rPr>
        <w:t xml:space="preserve"> </w:t>
      </w:r>
      <w:r>
        <w:br w:type="page"/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APPENDIX A - The School District’s Attributes of a 21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/>
          <w:sz w:val="28"/>
          <w:szCs w:val="28"/>
        </w:rPr>
        <w:t xml:space="preserve"> Century Learner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Learner: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Engaged, resilient and seeks to understand through: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Literacy, Numeracy and Subject Competencies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Information, Media, and Technology Literacy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Self-Direction, Work Ethic, and Accountability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Healthy Lifestyle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Financial Literacy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Consistency and Commitment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Resil</w:t>
      </w:r>
      <w:r>
        <w:rPr>
          <w:rFonts w:ascii="Arial" w:eastAsia="Arial" w:hAnsi="Arial" w:cs="Arial"/>
          <w:sz w:val="20"/>
          <w:szCs w:val="20"/>
        </w:rPr>
        <w:t>iency and Perseverance</w:t>
      </w:r>
    </w:p>
    <w:p w:rsidR="00B9517D" w:rsidRDefault="00C13C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Willingness to Learn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Thinker: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Analyzes, makes connections, inferences, asks questions, and transfers knowledge through: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Critical Thinking and Problem Solving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Mindedness and Reflection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Flexibility and Adaptability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Awareness and Responsibility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Interpersonal Skills (Confidence, Patience)</w:t>
      </w:r>
    </w:p>
    <w:p w:rsidR="00B9517D" w:rsidRDefault="00C13C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Positive Personal Identity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Innovator: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Sees possibilities and generates original ideas with value through: </w:t>
      </w:r>
    </w:p>
    <w:p w:rsidR="00B9517D" w:rsidRDefault="00C13C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Curiosity and Imagination</w:t>
      </w:r>
    </w:p>
    <w:p w:rsidR="00B9517D" w:rsidRDefault="00C13C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Creativity, Design and Performance</w:t>
      </w:r>
    </w:p>
    <w:p w:rsidR="00B9517D" w:rsidRDefault="00C13C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Initiative and Entrepreneurship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Collaborator: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Excels at working with others to create new understanding through:</w:t>
      </w:r>
    </w:p>
    <w:p w:rsidR="00B9517D" w:rsidRDefault="00C13C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Appreciating Diversity</w:t>
      </w:r>
    </w:p>
    <w:p w:rsidR="00B9517D" w:rsidRDefault="00C13C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Effective Communication</w:t>
      </w:r>
    </w:p>
    <w:p w:rsidR="00B9517D" w:rsidRDefault="00C13C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Interdependence</w:t>
      </w:r>
    </w:p>
    <w:p w:rsidR="00B9517D" w:rsidRDefault="00C13C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Relationship Building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Contributor: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Participates in the local and global community through:</w:t>
      </w:r>
    </w:p>
    <w:p w:rsidR="00B9517D" w:rsidRDefault="00C13C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Finding, Following, and Sharing Passions</w:t>
      </w:r>
    </w:p>
    <w:p w:rsidR="00B9517D" w:rsidRDefault="00C13C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Respect, Empathy, and Kindness</w:t>
      </w:r>
    </w:p>
    <w:p w:rsidR="00B9517D" w:rsidRDefault="00C13C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Integrity and Ethical Behaviour</w:t>
      </w:r>
    </w:p>
    <w:p w:rsidR="00B9517D" w:rsidRDefault="00C13C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Civic and Environmental Responsibility</w:t>
      </w:r>
    </w:p>
    <w:p w:rsidR="00B9517D" w:rsidRDefault="00C13C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Embracing Diverse Cultures and Lifestyles</w:t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ab/>
      </w:r>
    </w:p>
    <w:p w:rsidR="00B9517D" w:rsidRDefault="00C13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APPENDIX B - Supporting Evidence Suggestions</w:t>
      </w:r>
    </w:p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900" w:type="dxa"/>
        <w:tblInd w:w="6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680"/>
      </w:tblGrid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Schoolwork/Classwork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Accomplishments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Class/Group Projects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Artifacts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Card/Transcripts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Newspaper/Published Articles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Recognition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Earned Credentials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Proof of Post-Secondary Enrolment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Learning Experiences Journal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Proof of Employment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Scrapbook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Employment Appraisals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Resume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Experience/Job Shadows etc.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Extra-Curricular Work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Awards/Certificates</w:t>
            </w:r>
          </w:p>
        </w:tc>
      </w:tr>
      <w:tr w:rsidR="00B9517D">
        <w:trPr>
          <w:trHeight w:val="240"/>
        </w:trPr>
        <w:tc>
          <w:tcPr>
            <w:tcW w:w="5220" w:type="dxa"/>
          </w:tcPr>
          <w:p w:rsidR="00B9517D" w:rsidRDefault="00C13C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 of Reference/Video Clip from Teacher/Employer/Credible Adult</w:t>
            </w:r>
          </w:p>
        </w:tc>
        <w:tc>
          <w:tcPr>
            <w:tcW w:w="4680" w:type="dxa"/>
          </w:tcPr>
          <w:p w:rsidR="00B9517D" w:rsidRDefault="00C13C1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Conversation/Story</w:t>
            </w:r>
          </w:p>
        </w:tc>
      </w:tr>
    </w:tbl>
    <w:p w:rsidR="00B9517D" w:rsidRDefault="00B95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</w:p>
    <w:sectPr w:rsidR="00B9517D">
      <w:footerReference w:type="default" r:id="rId14"/>
      <w:pgSz w:w="12240" w:h="15840"/>
      <w:pgMar w:top="566" w:right="1009" w:bottom="566" w:left="10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1B" w:rsidRDefault="00C13C1B">
      <w:r>
        <w:separator/>
      </w:r>
    </w:p>
  </w:endnote>
  <w:endnote w:type="continuationSeparator" w:id="0">
    <w:p w:rsidR="00C13C1B" w:rsidRDefault="00C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7D" w:rsidRDefault="00C1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 w:rsidR="00036AE6">
      <w:fldChar w:fldCharType="separate"/>
    </w:r>
    <w:r w:rsidR="00036AE6">
      <w:rPr>
        <w:noProof/>
      </w:rPr>
      <w:t>3</w:t>
    </w:r>
    <w:r>
      <w:fldChar w:fldCharType="end"/>
    </w:r>
  </w:p>
  <w:p w:rsidR="00B9517D" w:rsidRDefault="00B951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1B" w:rsidRDefault="00C13C1B">
      <w:r>
        <w:separator/>
      </w:r>
    </w:p>
  </w:footnote>
  <w:footnote w:type="continuationSeparator" w:id="0">
    <w:p w:rsidR="00C13C1B" w:rsidRDefault="00C1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10"/>
    <w:multiLevelType w:val="multilevel"/>
    <w:tmpl w:val="21366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033C51"/>
    <w:multiLevelType w:val="multilevel"/>
    <w:tmpl w:val="3B3CC33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3E22035"/>
    <w:multiLevelType w:val="multilevel"/>
    <w:tmpl w:val="B504E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A367E3"/>
    <w:multiLevelType w:val="multilevel"/>
    <w:tmpl w:val="96D04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BB1C8C"/>
    <w:multiLevelType w:val="multilevel"/>
    <w:tmpl w:val="B504F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33F4C"/>
    <w:multiLevelType w:val="multilevel"/>
    <w:tmpl w:val="EA626D2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4B05574"/>
    <w:multiLevelType w:val="multilevel"/>
    <w:tmpl w:val="1F0EC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94449A"/>
    <w:multiLevelType w:val="multilevel"/>
    <w:tmpl w:val="37C00B6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F360DF7"/>
    <w:multiLevelType w:val="multilevel"/>
    <w:tmpl w:val="C15A1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26827"/>
    <w:multiLevelType w:val="multilevel"/>
    <w:tmpl w:val="ED0C862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24975F8"/>
    <w:multiLevelType w:val="multilevel"/>
    <w:tmpl w:val="E7C6592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D4C01E1"/>
    <w:multiLevelType w:val="multilevel"/>
    <w:tmpl w:val="AA2CF9C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89575A6"/>
    <w:multiLevelType w:val="multilevel"/>
    <w:tmpl w:val="5F78D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1509CC"/>
    <w:multiLevelType w:val="multilevel"/>
    <w:tmpl w:val="25D01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726F66"/>
    <w:multiLevelType w:val="multilevel"/>
    <w:tmpl w:val="E6C6F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D016F9"/>
    <w:multiLevelType w:val="multilevel"/>
    <w:tmpl w:val="0C80E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FD2012"/>
    <w:multiLevelType w:val="multilevel"/>
    <w:tmpl w:val="38A6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EA3A55"/>
    <w:multiLevelType w:val="multilevel"/>
    <w:tmpl w:val="08EA5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EE2CCD"/>
    <w:multiLevelType w:val="multilevel"/>
    <w:tmpl w:val="02DCF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D"/>
    <w:rsid w:val="00036AE6"/>
    <w:rsid w:val="00B9517D"/>
    <w:rsid w:val="00C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49A38-E833-47F7-A88E-E1269EC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omic Sans MS" w:eastAsia="Comic Sans MS" w:hAnsi="Comic Sans MS" w:cs="Comic Sans MS"/>
      <w:i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as.sd23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Meraw</dc:creator>
  <cp:lastModifiedBy>Douglas Meraw</cp:lastModifiedBy>
  <cp:revision>2</cp:revision>
  <dcterms:created xsi:type="dcterms:W3CDTF">2020-04-01T19:46:00Z</dcterms:created>
  <dcterms:modified xsi:type="dcterms:W3CDTF">2020-04-01T19:46:00Z</dcterms:modified>
</cp:coreProperties>
</file>